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96"/>
        <w:gridCol w:w="4896"/>
      </w:tblGrid>
      <w:tr>
        <w:tc>
          <w:tcPr>
            <w:tcW w:type="dxa" w:w="4896"/>
            <w:shd w:val="clear" w:color="auto" w:fill="1A735C"/>
          </w:tcPr>
          <w:p>
            <w:r>
              <w:rPr>
                <w:b/>
                <w:color w:val="FFFFFF"/>
                <w:sz w:val="32"/>
              </w:rPr>
              <w:t>PharmaNotes Web</w:t>
            </w:r>
          </w:p>
        </w:tc>
        <w:tc>
          <w:tcPr>
            <w:tcW w:type="dxa" w:w="4896"/>
            <w:shd w:val="clear" w:color="auto" w:fill="1A735C"/>
          </w:tcPr>
          <w:p>
            <w:pPr>
              <w:jc w:val="right"/>
            </w:pPr>
            <w:r>
              <w:rPr>
                <w:color w:val="FFFFFF"/>
                <w:sz w:val="18"/>
              </w:rPr>
              <w:t>Standard Operating Procedure</w:t>
              <w:br/>
              <w:t>Medication Adherence Calculator — PHI Handling</w:t>
              <w:br/>
              <w:t>SOP-PHA-001  |  Version 1.0  |  May 2026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264"/>
        <w:gridCol w:w="3264"/>
        <w:gridCol w:w="3264"/>
      </w:tblGrid>
      <w:tr>
        <w:tc>
          <w:tcPr>
            <w:tcW w:type="dxa" w:w="3264"/>
            <w:shd w:val="clear" w:color="auto" w:fill="E8F5F0"/>
          </w:tcPr>
          <w:p>
            <w:r>
              <w:rPr>
                <w:b/>
                <w:color w:val="1A735C"/>
                <w:sz w:val="19"/>
              </w:rPr>
              <w:t>🎯  Purpose</w:t>
              <w:br/>
            </w:r>
            <w:r>
              <w:rPr>
                <w:sz w:val="18"/>
              </w:rPr>
              <w:t>Define safe handling practices for CSV prescription data imported into the Medication Adherence Calculator module and for PDF reports generated by the module.</w:t>
            </w:r>
          </w:p>
        </w:tc>
        <w:tc>
          <w:tcPr>
            <w:tcW w:type="dxa" w:w="3264"/>
            <w:shd w:val="clear" w:color="auto" w:fill="E8F5F0"/>
          </w:tcPr>
          <w:p>
            <w:r>
              <w:rPr>
                <w:b/>
                <w:color w:val="1A735C"/>
                <w:sz w:val="19"/>
              </w:rPr>
              <w:t>👤  Applies To</w:t>
              <w:br/>
            </w:r>
            <w:r>
              <w:rPr>
                <w:sz w:val="18"/>
              </w:rPr>
              <w:t>All pharmacists and authorized pharmacy staff who use PharmaNotes Web Medication Adherence Calculator.</w:t>
            </w:r>
          </w:p>
        </w:tc>
        <w:tc>
          <w:tcPr>
            <w:tcW w:type="dxa" w:w="3264"/>
            <w:shd w:val="clear" w:color="auto" w:fill="E8F5F0"/>
          </w:tcPr>
          <w:p>
            <w:r>
              <w:rPr>
                <w:b/>
                <w:color w:val="1A735C"/>
                <w:sz w:val="19"/>
              </w:rPr>
              <w:t>📋  Authority</w:t>
              <w:br/>
            </w:r>
            <w:r>
              <w:rPr>
                <w:sz w:val="18"/>
              </w:rPr>
              <w:t>PharmaNotes Web Privacy Policy v1.0 + Addendum A</w:t>
              <w:br/>
              <w:t>PHIPA s.12, s.15, s.17</w:t>
              <w:br/>
              <w:t>Effective: May 2026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48"/>
        <w:gridCol w:w="2448"/>
        <w:gridCol w:w="2448"/>
        <w:gridCol w:w="2448"/>
      </w:tblGrid>
      <w:tr>
        <w:tc>
          <w:tcPr>
            <w:tcW w:type="dxa" w:w="2448"/>
            <w:shd w:val="clear" w:color="auto" w:fill="1A735C"/>
          </w:tcPr>
          <w:p>
            <w:r>
              <w:rPr>
                <w:b/>
                <w:i w:val="0"/>
                <w:color w:val="FFFFFF"/>
                <w:sz w:val="19"/>
              </w:rPr>
              <w:t>Step</w:t>
            </w:r>
          </w:p>
        </w:tc>
        <w:tc>
          <w:tcPr>
            <w:tcW w:type="dxa" w:w="2448"/>
            <w:shd w:val="clear" w:color="auto" w:fill="1A735C"/>
          </w:tcPr>
          <w:p>
            <w:r>
              <w:rPr>
                <w:b/>
                <w:i w:val="0"/>
                <w:color w:val="FFFFFF"/>
                <w:sz w:val="19"/>
              </w:rPr>
              <w:t>Action</w:t>
            </w:r>
          </w:p>
        </w:tc>
        <w:tc>
          <w:tcPr>
            <w:tcW w:type="dxa" w:w="2448"/>
            <w:shd w:val="clear" w:color="auto" w:fill="1A735C"/>
          </w:tcPr>
          <w:p>
            <w:r>
              <w:rPr>
                <w:b/>
                <w:i w:val="0"/>
                <w:color w:val="FFFFFF"/>
                <w:sz w:val="19"/>
              </w:rPr>
              <w:t>Requirement</w:t>
            </w:r>
          </w:p>
        </w:tc>
        <w:tc>
          <w:tcPr>
            <w:tcW w:type="dxa" w:w="2448"/>
            <w:shd w:val="clear" w:color="auto" w:fill="1A735C"/>
          </w:tcPr>
          <w:p>
            <w:r>
              <w:rPr>
                <w:b/>
                <w:i w:val="0"/>
                <w:color w:val="FFFFFF"/>
                <w:sz w:val="19"/>
              </w:rPr>
              <w:t>If Not Met</w:t>
            </w:r>
          </w:p>
        </w:tc>
      </w:tr>
      <w:tr>
        <w:tc>
          <w:tcPr>
            <w:tcW w:type="dxa" w:w="2448"/>
            <w:shd w:val="clear" w:color="auto" w:fill="F2F2F2"/>
          </w:tcPr>
          <w:p>
            <w:r>
              <w:rPr>
                <w:b/>
                <w:color w:val="1A735C"/>
                <w:sz w:val="18"/>
              </w:rPr>
              <w:t>1</w:t>
              <w:br/>
              <w:t>Before Use</w:t>
              <w:br/>
              <w:t>Device Check</w:t>
            </w:r>
          </w:p>
        </w:tc>
        <w:tc>
          <w:tcPr>
            <w:tcW w:type="dxa" w:w="2448"/>
            <w:shd w:val="clear" w:color="auto" w:fill="F2F2F2"/>
          </w:tcPr>
          <w:p>
            <w:r>
              <w:rPr>
                <w:sz w:val="18"/>
              </w:rPr>
              <w:t>Confirm you are on a password-protected, work-designated device with screen auto-lock enabled.</w:t>
            </w:r>
          </w:p>
        </w:tc>
        <w:tc>
          <w:tcPr>
            <w:tcW w:type="dxa" w:w="2448"/>
            <w:shd w:val="clear" w:color="auto" w:fill="F2F2F2"/>
          </w:tcPr>
          <w:p>
            <w:r>
              <w:rPr>
                <w:sz w:val="18"/>
              </w:rPr>
              <w:t>• Device must require login to access</w:t>
              <w:br/>
              <w:t>• Screen must auto-lock within 5 minutes of inactivity</w:t>
              <w:br/>
              <w:t>• Device must be employer-owned or pharmacy-designated</w:t>
            </w:r>
          </w:p>
        </w:tc>
        <w:tc>
          <w:tcPr>
            <w:tcW w:type="dxa" w:w="2448"/>
            <w:shd w:val="clear" w:color="auto" w:fill="F2F2F2"/>
          </w:tcPr>
          <w:p>
            <w:r>
              <w:rPr>
                <w:sz w:val="18"/>
              </w:rPr>
              <w:t>Do NOT proceed. Move to a compliant work device.</w:t>
            </w:r>
          </w:p>
        </w:tc>
      </w:tr>
      <w:tr>
        <w:tc>
          <w:tcPr>
            <w:tcW w:type="dxa" w:w="2448"/>
            <w:shd w:val="clear" w:color="auto" w:fill="F2F2F2"/>
          </w:tcPr>
          <w:p>
            <w:r>
              <w:rPr>
                <w:b/>
                <w:color w:val="1A735C"/>
                <w:sz w:val="18"/>
              </w:rPr>
              <w:t>2</w:t>
              <w:br/>
              <w:t>Before Use</w:t>
              <w:br/>
              <w:t>Screen Privacy</w:t>
            </w:r>
          </w:p>
        </w:tc>
        <w:tc>
          <w:tcPr>
            <w:tcW w:type="dxa" w:w="2448"/>
            <w:shd w:val="clear" w:color="auto" w:fill="F2F2F2"/>
          </w:tcPr>
          <w:p>
            <w:r>
              <w:rPr>
                <w:sz w:val="18"/>
              </w:rPr>
              <w:t>Confirm screen is not visible to patients, visitors, or staff without a need-to-know.</w:t>
            </w:r>
          </w:p>
        </w:tc>
        <w:tc>
          <w:tcPr>
            <w:tcW w:type="dxa" w:w="2448"/>
            <w:shd w:val="clear" w:color="auto" w:fill="F2F2F2"/>
          </w:tcPr>
          <w:p>
            <w:r>
              <w:rPr>
                <w:sz w:val="18"/>
              </w:rPr>
              <w:t>• Position monitor away from waiting areas</w:t>
              <w:br/>
              <w:t>• Use a privacy screen filter if available</w:t>
              <w:br/>
              <w:t>• Do not open module at a shared public counter</w:t>
            </w:r>
          </w:p>
        </w:tc>
        <w:tc>
          <w:tcPr>
            <w:tcW w:type="dxa" w:w="2448"/>
            <w:shd w:val="clear" w:color="auto" w:fill="F2F2F2"/>
          </w:tcPr>
          <w:p>
            <w:r>
              <w:rPr>
                <w:sz w:val="18"/>
              </w:rPr>
              <w:t>Reposition workstation or use a private area before proceeding.</w:t>
            </w:r>
          </w:p>
        </w:tc>
      </w:tr>
      <w:tr>
        <w:tc>
          <w:tcPr>
            <w:tcW w:type="dxa" w:w="2448"/>
            <w:shd w:val="clear" w:color="auto" w:fill="FFF3CD"/>
          </w:tcPr>
          <w:p>
            <w:r>
              <w:rPr>
                <w:b/>
                <w:color w:val="1A735C"/>
                <w:sz w:val="18"/>
              </w:rPr>
              <w:t>3</w:t>
              <w:br/>
              <w:t>CSV Import</w:t>
              <w:br/>
              <w:t>File Verification</w:t>
            </w:r>
          </w:p>
        </w:tc>
        <w:tc>
          <w:tcPr>
            <w:tcW w:type="dxa" w:w="2448"/>
            <w:shd w:val="clear" w:color="auto" w:fill="FFF3CD"/>
          </w:tcPr>
          <w:p>
            <w:r>
              <w:rPr>
                <w:sz w:val="18"/>
              </w:rPr>
              <w:t>Before uploading, confirm the CSV file is the correct file for the intended patient(s) and that it was exported from your pharmacy system.</w:t>
            </w:r>
          </w:p>
        </w:tc>
        <w:tc>
          <w:tcPr>
            <w:tcW w:type="dxa" w:w="2448"/>
            <w:shd w:val="clear" w:color="auto" w:fill="FFF3CD"/>
          </w:tcPr>
          <w:p>
            <w:r>
              <w:rPr>
                <w:sz w:val="18"/>
              </w:rPr>
              <w:t>• Check the file name and date before selecting</w:t>
              <w:br/>
              <w:t>• Verify patient count shown after import matches expectation</w:t>
              <w:br/>
              <w:t>• Never import a CSV received via personal email or unverified source</w:t>
            </w:r>
          </w:p>
        </w:tc>
        <w:tc>
          <w:tcPr>
            <w:tcW w:type="dxa" w:w="2448"/>
            <w:shd w:val="clear" w:color="auto" w:fill="FFF3CD"/>
          </w:tcPr>
          <w:p>
            <w:r>
              <w:rPr>
                <w:sz w:val="18"/>
              </w:rPr>
              <w:t>Cancel the import. Do not process an unverified or incorrect file.</w:t>
            </w:r>
          </w:p>
        </w:tc>
      </w:tr>
      <w:tr>
        <w:tc>
          <w:tcPr>
            <w:tcW w:type="dxa" w:w="2448"/>
            <w:shd w:val="clear" w:color="auto" w:fill="FFF3CD"/>
          </w:tcPr>
          <w:p>
            <w:r>
              <w:rPr>
                <w:b/>
                <w:color w:val="1A735C"/>
                <w:sz w:val="18"/>
              </w:rPr>
              <w:t>4</w:t>
              <w:br/>
              <w:t>CSV Import</w:t>
              <w:br/>
              <w:t>Data Handling</w:t>
            </w:r>
          </w:p>
        </w:tc>
        <w:tc>
          <w:tcPr>
            <w:tcW w:type="dxa" w:w="2448"/>
            <w:shd w:val="clear" w:color="auto" w:fill="FFF3CD"/>
          </w:tcPr>
          <w:p>
            <w:r>
              <w:rPr>
                <w:sz w:val="18"/>
              </w:rPr>
              <w:t>Once imported, CSV data is processed only in your browser. No data is sent to any server.</w:t>
            </w:r>
          </w:p>
        </w:tc>
        <w:tc>
          <w:tcPr>
            <w:tcW w:type="dxa" w:w="2448"/>
            <w:shd w:val="clear" w:color="auto" w:fill="FFF3CD"/>
          </w:tcPr>
          <w:p>
            <w:r>
              <w:rPr>
                <w:sz w:val="18"/>
              </w:rPr>
              <w:t>• Do not screenshot or copy data from the screen to unapproved tools</w:t>
              <w:br/>
              <w:t>• Do not leave the browser tab open and unattended</w:t>
              <w:br/>
              <w:t>• Close or refresh the tab to clear all data when done</w:t>
            </w:r>
          </w:p>
        </w:tc>
        <w:tc>
          <w:tcPr>
            <w:tcW w:type="dxa" w:w="2448"/>
            <w:shd w:val="clear" w:color="auto" w:fill="FFF3CD"/>
          </w:tcPr>
          <w:p>
            <w:r>
              <w:rPr>
                <w:sz w:val="18"/>
              </w:rPr>
              <w:t>Treat any accidental exposure as a potential PHI breach (see Step 7).</w:t>
            </w:r>
          </w:p>
        </w:tc>
      </w:tr>
      <w:tr>
        <w:tc>
          <w:tcPr>
            <w:tcW w:type="dxa" w:w="2448"/>
            <w:shd w:val="clear" w:color="auto" w:fill="FDDEDE"/>
          </w:tcPr>
          <w:p>
            <w:r>
              <w:rPr>
                <w:b/>
                <w:color w:val="1A735C"/>
                <w:sz w:val="18"/>
              </w:rPr>
              <w:t>5</w:t>
              <w:br/>
              <w:t>PDF Output</w:t>
              <w:br/>
              <w:t>Download</w:t>
            </w:r>
          </w:p>
        </w:tc>
        <w:tc>
          <w:tcPr>
            <w:tcW w:type="dxa" w:w="2448"/>
            <w:shd w:val="clear" w:color="auto" w:fill="FDDEDE"/>
          </w:tcPr>
          <w:p>
            <w:r>
              <w:rPr>
                <w:sz w:val="18"/>
              </w:rPr>
              <w:t>When generating a PDF report, it will be saved to your browser's configured downloads folder.</w:t>
            </w:r>
          </w:p>
        </w:tc>
        <w:tc>
          <w:tcPr>
            <w:tcW w:type="dxa" w:w="2448"/>
            <w:shd w:val="clear" w:color="auto" w:fill="FDDEDE"/>
          </w:tcPr>
          <w:p>
            <w:r>
              <w:rPr>
                <w:sz w:val="18"/>
              </w:rPr>
              <w:t>• Use this feature only on compliant devices (see Step 1)</w:t>
              <w:br/>
              <w:t>• Immediately move the file to a secure, access-controlled folder</w:t>
              <w:br/>
              <w:t>• Do NOT save to personal or cloud-synced folders (e.g., personal OneDrive, Google Drive, Dropbox)</w:t>
              <w:br/>
              <w:t>• Do NOT email the PDF through personal or unencrypted channels</w:t>
            </w:r>
          </w:p>
        </w:tc>
        <w:tc>
          <w:tcPr>
            <w:tcW w:type="dxa" w:w="2448"/>
            <w:shd w:val="clear" w:color="auto" w:fill="FDDEDE"/>
          </w:tcPr>
          <w:p>
            <w:r>
              <w:rPr>
                <w:sz w:val="18"/>
              </w:rPr>
              <w:t>If file was saved to a non-compliant location, delete it immediately and treat as potential breach (see Step 7).</w:t>
            </w:r>
          </w:p>
        </w:tc>
      </w:tr>
      <w:tr>
        <w:tc>
          <w:tcPr>
            <w:tcW w:type="dxa" w:w="2448"/>
            <w:shd w:val="clear" w:color="auto" w:fill="FDDEDE"/>
          </w:tcPr>
          <w:p>
            <w:r>
              <w:rPr>
                <w:b/>
                <w:color w:val="1A735C"/>
                <w:sz w:val="18"/>
              </w:rPr>
              <w:t>6</w:t>
              <w:br/>
              <w:t>PDF Output</w:t>
              <w:br/>
              <w:t>Retention &amp; Deletion</w:t>
            </w:r>
          </w:p>
        </w:tc>
        <w:tc>
          <w:tcPr>
            <w:tcW w:type="dxa" w:w="2448"/>
            <w:shd w:val="clear" w:color="auto" w:fill="FDDEDE"/>
          </w:tcPr>
          <w:p>
            <w:r>
              <w:rPr>
                <w:sz w:val="18"/>
              </w:rPr>
              <w:t>Downloaded adherence PDFs must be retained only as long as clinically necessary.</w:t>
            </w:r>
          </w:p>
        </w:tc>
        <w:tc>
          <w:tcPr>
            <w:tcW w:type="dxa" w:w="2448"/>
            <w:shd w:val="clear" w:color="auto" w:fill="FDDEDE"/>
          </w:tcPr>
          <w:p>
            <w:r>
              <w:rPr>
                <w:sz w:val="18"/>
              </w:rPr>
              <w:t>• Delete the file using secure deletion when no longer needed (do not simply move to Recycle Bin — empty it)</w:t>
              <w:br/>
              <w:t>• Follow your pharmacy's retention schedule for clinical documents</w:t>
              <w:br/>
              <w:t>• Do not share printed copies beyond the care team</w:t>
            </w:r>
          </w:p>
        </w:tc>
        <w:tc>
          <w:tcPr>
            <w:tcW w:type="dxa" w:w="2448"/>
            <w:shd w:val="clear" w:color="auto" w:fill="FDDEDE"/>
          </w:tcPr>
          <w:p>
            <w:r>
              <w:rPr>
                <w:sz w:val="18"/>
              </w:rPr>
              <w:t>Undeleted PHI files on devices represent an ongoing privacy risk. Escalate to your Privacy Contact.</w:t>
            </w:r>
          </w:p>
        </w:tc>
      </w:tr>
      <w:tr>
        <w:tc>
          <w:tcPr>
            <w:tcW w:type="dxa" w:w="2448"/>
            <w:shd w:val="clear" w:color="auto" w:fill="FDDEDE"/>
          </w:tcPr>
          <w:p>
            <w:r>
              <w:rPr>
                <w:b/>
                <w:color w:val="1A735C"/>
                <w:sz w:val="18"/>
              </w:rPr>
              <w:t>7</w:t>
              <w:br/>
              <w:t>Breaches</w:t>
              <w:br/>
              <w:t>Escalation</w:t>
            </w:r>
          </w:p>
        </w:tc>
        <w:tc>
          <w:tcPr>
            <w:tcW w:type="dxa" w:w="2448"/>
            <w:shd w:val="clear" w:color="auto" w:fill="FDDEDE"/>
          </w:tcPr>
          <w:p>
            <w:r>
              <w:rPr>
                <w:sz w:val="18"/>
              </w:rPr>
              <w:t>If PHI may have been exposed (wrong file processed, device lost/stolen, PDF saved to wrong location), treat it as a potential privacy breach immediately.</w:t>
            </w:r>
          </w:p>
        </w:tc>
        <w:tc>
          <w:tcPr>
            <w:tcW w:type="dxa" w:w="2448"/>
            <w:shd w:val="clear" w:color="auto" w:fill="FDDEDE"/>
          </w:tcPr>
          <w:p>
            <w:r>
              <w:rPr>
                <w:sz w:val="18"/>
              </w:rPr>
              <w:t>• Stop using the module</w:t>
              <w:br/>
              <w:t>• Do not attempt to correct the breach alone</w:t>
              <w:br/>
              <w:t>• Notify your Privacy Contact ([Your Name] or local pharmacist-in-charge) immediately</w:t>
              <w:br/>
              <w:t>• Document what happened, when, and which patients may be affected</w:t>
              <w:br/>
              <w:t>• Breach notification to affected patients will follow PHIPA s.12(2)</w:t>
            </w:r>
          </w:p>
        </w:tc>
        <w:tc>
          <w:tcPr>
            <w:tcW w:type="dxa" w:w="2448"/>
            <w:shd w:val="clear" w:color="auto" w:fill="FDDEDE"/>
          </w:tcPr>
          <w:p>
            <w:r>
              <w:rPr>
                <w:sz w:val="18"/>
              </w:rPr>
              <w:t>Failure to report a known breach may violate PHIPA and pharmacy professional obligations.</w:t>
            </w:r>
          </w:p>
        </w:tc>
      </w:tr>
      <w:tr>
        <w:tc>
          <w:tcPr>
            <w:tcW w:type="dxa" w:w="2448"/>
            <w:shd w:val="clear" w:color="auto" w:fill="F2F2F2"/>
          </w:tcPr>
          <w:p>
            <w:r>
              <w:rPr>
                <w:b/>
                <w:color w:val="1A735C"/>
                <w:sz w:val="18"/>
              </w:rPr>
              <w:t>8</w:t>
              <w:br/>
              <w:t>Attestation</w:t>
              <w:br/>
              <w:t>Annual Review</w:t>
            </w:r>
          </w:p>
        </w:tc>
        <w:tc>
          <w:tcPr>
            <w:tcW w:type="dxa" w:w="2448"/>
            <w:shd w:val="clear" w:color="auto" w:fill="F2F2F2"/>
          </w:tcPr>
          <w:p>
            <w:r>
              <w:rPr>
                <w:sz w:val="18"/>
              </w:rPr>
              <w:t>All users must acknowledge they have read this SOP before first use and annually thereafter.</w:t>
            </w:r>
          </w:p>
        </w:tc>
        <w:tc>
          <w:tcPr>
            <w:tcW w:type="dxa" w:w="2448"/>
            <w:shd w:val="clear" w:color="auto" w:fill="F2F2F2"/>
          </w:tcPr>
          <w:p>
            <w:r>
              <w:rPr>
                <w:sz w:val="18"/>
              </w:rPr>
              <w:t>• Sign and date the user attestation on the reverse of this document</w:t>
              <w:br/>
              <w:t>• Retain a copy in your pharmacy's staff privacy training file</w:t>
              <w:br/>
              <w:t>• SOP reviewed annually or when module is materially updated</w:t>
            </w:r>
          </w:p>
        </w:tc>
        <w:tc>
          <w:tcPr>
            <w:tcW w:type="dxa" w:w="2448"/>
            <w:shd w:val="clear" w:color="auto" w:fill="F2F2F2"/>
          </w:tcPr>
          <w:p>
            <w:r>
              <w:rPr>
                <w:sz w:val="18"/>
              </w:rPr>
              <w:t>Users who have not attested must not use the module.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792"/>
      </w:tblGrid>
      <w:tr>
        <w:tc>
          <w:tcPr>
            <w:tcW w:type="dxa" w:w="9792"/>
            <w:shd w:val="clear" w:color="auto" w:fill="E8F5F0"/>
          </w:tcPr>
          <w:p>
            <w:r>
              <w:rPr>
                <w:b/>
                <w:color w:val="1A735C"/>
                <w:sz w:val="20"/>
              </w:rPr>
              <w:t>User Attestation — SOP-PHA-001</w:t>
              <w:br/>
            </w:r>
            <w:r>
              <w:rPr>
                <w:sz w:val="20"/>
              </w:rPr>
              <w:t>I have read and understood this Standard Operating Procedure. I agree to handle all CSV data and PDF outputs generated by the PharmaNotes Web Medication Adherence Calculator in accordance with these requirements and in compliance with PHIPA.</w:t>
              <w:br/>
              <w:br/>
              <w:t>Name (print): _________________________________    Role: _____________________    Date: _______________</w:t>
              <w:br/>
              <w:br/>
              <w:t>Signature: ____________________________________    Pharmacy Site: ____________________________________________</w:t>
            </w:r>
          </w:p>
        </w:tc>
      </w:tr>
    </w:tbl>
    <w:sectPr w:rsidR="00FC693F" w:rsidRPr="0006063C" w:rsidSect="00034616">
      <w:pgSz w:w="12240" w:h="15840"/>
      <w:pgMar w:top="1008" w:right="1224" w:bottom="1008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